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6F3CFC">
      <w:pPr>
        <w:spacing w:line="400" w:lineRule="exact"/>
        <w:jc w:val="center"/>
        <w:rPr>
          <w:rFonts w:hint="eastAsia" w:ascii="黑体" w:hAnsi="黑体" w:eastAsia="黑体" w:cs="Times New Roman"/>
          <w:b/>
          <w:bCs/>
          <w:sz w:val="32"/>
          <w:szCs w:val="32"/>
          <w14:ligatures w14:val="none"/>
        </w:rPr>
      </w:pPr>
      <w:r>
        <w:rPr>
          <w:rFonts w:hint="eastAsia" w:ascii="黑体" w:hAnsi="黑体" w:eastAsia="黑体" w:cs="Times New Roman"/>
          <w:b/>
          <w:bCs/>
          <w:sz w:val="32"/>
          <w:szCs w:val="32"/>
          <w14:ligatures w14:val="none"/>
        </w:rPr>
        <w:t>“心理学 + 家校共育”微专业人才培养方案</w:t>
      </w:r>
    </w:p>
    <w:p w14:paraId="1E9CD658">
      <w:pPr>
        <w:spacing w:line="400" w:lineRule="exact"/>
        <w:rPr>
          <w:rFonts w:hint="eastAsia"/>
        </w:rPr>
      </w:pPr>
    </w:p>
    <w:p w14:paraId="0DB9B4CA">
      <w:pPr>
        <w:spacing w:line="40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一、培养目标</w:t>
      </w:r>
    </w:p>
    <w:p w14:paraId="6C980BC9">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rPr>
        <w:t>心理学+家校共育微专业</w:t>
      </w:r>
      <w:r>
        <w:rPr>
          <w:rFonts w:hint="eastAsia" w:ascii="仿宋" w:hAnsi="仿宋" w:eastAsia="仿宋" w:cs="仿宋"/>
          <w:sz w:val="24"/>
          <w:szCs w:val="24"/>
        </w:rPr>
        <w:t>落实立德树人根本任务，紧扣国家家校社协同育人、中小学心理健康教育政策导向，聚焦心理学与家校共育交叉领域，</w:t>
      </w:r>
      <w:bookmarkStart w:id="0" w:name="OLE_LINK6"/>
      <w:r>
        <w:rPr>
          <w:rFonts w:hint="eastAsia" w:ascii="仿宋" w:hAnsi="仿宋" w:eastAsia="仿宋" w:cs="仿宋"/>
          <w:sz w:val="24"/>
        </w:rPr>
        <w:t>旨在培养能够在基础教育家校协同场景中，科学、规范、审慎地运用心理学理论与技术开展学生心理疏导、成长行为指导、亲子关系调适，服务新时代心理健康教育与智慧家校共育高质量发展的交叉复合型人才。</w:t>
      </w:r>
      <w:bookmarkEnd w:id="0"/>
    </w:p>
    <w:p w14:paraId="05E4E5C3">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本微专业毕业生应达到如下能力要求：</w:t>
      </w:r>
    </w:p>
    <w:p w14:paraId="394F2D47">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 知识要求：掌握发展心理学、教育心理学、家庭心理学基础理论，熟悉家庭教育、中小学生心理健康教育相关政策与伦理规范。</w:t>
      </w:r>
    </w:p>
    <w:p w14:paraId="2D88C28D">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 技能要求：掌握心理测评、情绪疏导、亲子沟通等方法工具，可在家校共育场景开展实操应用；能够识别中小学生常见心理与行为问题，掌握基础干预技术。</w:t>
      </w:r>
    </w:p>
    <w:p w14:paraId="729C792E">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 能力要求：具备学生心理状态研判、问题溯源、心理风险识别与干预评估能力；恪守心理服务伦理与岗位职责边界，能够设计可实施、可评估、可追溯的家校协同育人实操方案。</w:t>
      </w:r>
    </w:p>
    <w:p w14:paraId="77E1D15E">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 素养要求：树立科学育人理念，具备责任意识、共情能力，能够胜任学生心理陪伴、家庭教育指导、家校沟通协同等实际工作。</w:t>
      </w:r>
    </w:p>
    <w:p w14:paraId="1B29A947">
      <w:pPr>
        <w:spacing w:line="400" w:lineRule="exact"/>
        <w:ind w:firstLine="480" w:firstLineChars="200"/>
        <w:rPr>
          <w:rFonts w:hint="eastAsia" w:ascii="仿宋" w:hAnsi="仿宋" w:eastAsia="仿宋" w:cs="仿宋"/>
          <w:sz w:val="24"/>
          <w:szCs w:val="24"/>
          <w14:ligatures w14:val="none"/>
        </w:rPr>
      </w:pPr>
    </w:p>
    <w:p w14:paraId="2D2A0680">
      <w:pPr>
        <w:spacing w:line="40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二、毕业要求</w:t>
      </w:r>
    </w:p>
    <w:p w14:paraId="60AA9D28">
      <w:pPr>
        <w:spacing w:line="400" w:lineRule="exact"/>
        <w:ind w:firstLine="480" w:firstLineChars="200"/>
        <w:rPr>
          <w:rFonts w:hint="eastAsia" w:ascii="仿宋" w:hAnsi="仿宋" w:eastAsia="仿宋" w:cs="仿宋"/>
          <w:sz w:val="24"/>
        </w:rPr>
      </w:pPr>
      <w:r>
        <w:rPr>
          <w:rFonts w:hint="eastAsia" w:ascii="仿宋" w:hAnsi="仿宋" w:eastAsia="仿宋" w:cs="仿宋"/>
          <w:sz w:val="24"/>
        </w:rPr>
        <w:t>学生需完成规定学分与课程考核，</w:t>
      </w:r>
      <w:r>
        <w:rPr>
          <w:rFonts w:hint="eastAsia" w:ascii="仿宋" w:hAnsi="仿宋" w:eastAsia="仿宋" w:cs="仿宋"/>
          <w:sz w:val="24"/>
          <w:szCs w:val="24"/>
        </w:rPr>
        <w:t>方可取得本微专业结业资格，学校发放微专业结业证</w:t>
      </w:r>
      <w:r>
        <w:rPr>
          <w:rFonts w:hint="eastAsia" w:ascii="仿宋" w:hAnsi="仿宋" w:eastAsia="仿宋" w:cs="仿宋"/>
          <w:sz w:val="24"/>
          <w:szCs w:val="24"/>
          <w:lang w:eastAsia="zh-CN"/>
        </w:rPr>
        <w:t>书</w:t>
      </w:r>
      <w:r>
        <w:rPr>
          <w:rFonts w:hint="eastAsia" w:ascii="仿宋" w:hAnsi="仿宋" w:eastAsia="仿宋" w:cs="仿宋"/>
          <w:sz w:val="24"/>
        </w:rPr>
        <w:t>。</w:t>
      </w:r>
    </w:p>
    <w:p w14:paraId="2A00DFD1">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修完本微专业后，学生应具备中小学学生心理成长陪伴、青少年行为问题家校干预、亲子沟通指导、家校心理协同育人实施、学生心理健康家校联动管理、特殊学生心理帮扶、家庭教育心理指导等实践能力。</w:t>
      </w:r>
    </w:p>
    <w:p w14:paraId="205A7743">
      <w:pPr>
        <w:spacing w:line="400" w:lineRule="exact"/>
        <w:ind w:firstLine="480" w:firstLineChars="200"/>
        <w:rPr>
          <w:rFonts w:hint="eastAsia" w:ascii="仿宋" w:hAnsi="仿宋" w:eastAsia="仿宋" w:cs="仿宋"/>
          <w:sz w:val="24"/>
          <w:szCs w:val="24"/>
          <w14:ligatures w14:val="none"/>
        </w:rPr>
      </w:pPr>
    </w:p>
    <w:p w14:paraId="7E972EC3">
      <w:pPr>
        <w:spacing w:line="40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三、修业年限、学时与学分</w:t>
      </w:r>
    </w:p>
    <w:p w14:paraId="08E9E6E1">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 修业年限：标准修业年限1 年，最长修读年限不超过2 年；所有学习任务必须在本人主修专业规定修业年限内完成，超出主修学制不予受理微专业结业。</w:t>
      </w:r>
    </w:p>
    <w:p w14:paraId="104AF8EB">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 总学时：246 学时</w:t>
      </w:r>
    </w:p>
    <w:p w14:paraId="273C052C">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 总学分：10 学分</w:t>
      </w:r>
    </w:p>
    <w:p w14:paraId="449F2C7F">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 学时结构：理论讲授 82 学时，实践实训 164 学时，无实验学时。</w:t>
      </w:r>
    </w:p>
    <w:p w14:paraId="297AD0DD">
      <w:pPr>
        <w:spacing w:line="40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四、对接学科与专业</w:t>
      </w:r>
    </w:p>
    <w:p w14:paraId="67AB881F">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rPr>
        <w:t>兼容全校各专业背景，鼓励面向心理学、教育学、人工智能、社会学、公共管理等专业</w:t>
      </w:r>
      <w:r>
        <w:rPr>
          <w:rFonts w:hint="eastAsia" w:ascii="仿宋" w:hAnsi="仿宋" w:eastAsia="仿宋" w:cs="仿宋"/>
          <w:sz w:val="24"/>
          <w:szCs w:val="24"/>
        </w:rPr>
        <w:t>开展跨专业修读与交叉学习。</w:t>
      </w:r>
    </w:p>
    <w:p w14:paraId="1A3503DB">
      <w:pPr>
        <w:spacing w:line="400" w:lineRule="exact"/>
        <w:ind w:firstLine="480" w:firstLineChars="200"/>
        <w:rPr>
          <w:rFonts w:hint="eastAsia" w:ascii="仿宋" w:hAnsi="仿宋" w:eastAsia="仿宋" w:cs="仿宋"/>
          <w:sz w:val="24"/>
          <w:szCs w:val="24"/>
          <w14:ligatures w14:val="none"/>
        </w:rPr>
      </w:pPr>
    </w:p>
    <w:p w14:paraId="3A92054C">
      <w:pPr>
        <w:spacing w:line="40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五、招生对象及报名条件</w:t>
      </w:r>
    </w:p>
    <w:p w14:paraId="0EE20E01">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（一）招生对象</w:t>
      </w:r>
    </w:p>
    <w:p w14:paraId="113FE43A">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全校师范类本科学生，建议大二及以上年级修读；全日制研究生可按照学校微专业管理相关规定申请修读或旁听。</w:t>
      </w:r>
    </w:p>
    <w:p w14:paraId="5B2350D2">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（二）报名条件</w:t>
      </w:r>
    </w:p>
    <w:p w14:paraId="74E07AA0">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 遵守学校学籍管理规定，学籍状态正常；</w:t>
      </w:r>
    </w:p>
    <w:p w14:paraId="62CD535E">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 具备基本学习能力与团队协作意识；</w:t>
      </w:r>
    </w:p>
    <w:p w14:paraId="7A04381A">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 对心理学应用、家庭教育、家校协同育人有学习兴趣；</w:t>
      </w:r>
    </w:p>
    <w:p w14:paraId="0EE9406C">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 不强制要求心理学前置基础，课程从应用实操层面开展系统教学。</w:t>
      </w:r>
    </w:p>
    <w:p w14:paraId="325F3D98">
      <w:pPr>
        <w:spacing w:line="400" w:lineRule="exact"/>
        <w:ind w:firstLine="480" w:firstLineChars="200"/>
        <w:rPr>
          <w:rFonts w:hint="eastAsia" w:ascii="仿宋" w:hAnsi="仿宋" w:eastAsia="仿宋" w:cs="仿宋"/>
          <w:sz w:val="24"/>
          <w:szCs w:val="24"/>
          <w14:ligatures w14:val="none"/>
        </w:rPr>
      </w:pPr>
    </w:p>
    <w:p w14:paraId="25593632">
      <w:pPr>
        <w:spacing w:line="40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六、课程设置、教学安排与考核</w:t>
      </w:r>
    </w:p>
    <w:p w14:paraId="43C87777">
      <w:pPr>
        <w:spacing w:line="400" w:lineRule="exact"/>
        <w:jc w:val="center"/>
        <w:rPr>
          <w:rFonts w:hint="eastAsia" w:ascii="仿宋" w:hAnsi="仿宋" w:eastAsia="仿宋" w:cs="仿宋"/>
          <w:sz w:val="24"/>
        </w:rPr>
      </w:pPr>
      <w:r>
        <w:rPr>
          <w:rFonts w:hint="eastAsia" w:ascii="仿宋" w:hAnsi="仿宋" w:eastAsia="仿宋" w:cs="仿宋"/>
          <w:sz w:val="24"/>
        </w:rPr>
        <w:t>微专业教学计划表</w:t>
      </w:r>
    </w:p>
    <w:tbl>
      <w:tblPr>
        <w:tblStyle w:val="15"/>
        <w:tblW w:w="8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7"/>
        <w:gridCol w:w="709"/>
        <w:gridCol w:w="851"/>
        <w:gridCol w:w="567"/>
        <w:gridCol w:w="567"/>
        <w:gridCol w:w="567"/>
        <w:gridCol w:w="708"/>
        <w:gridCol w:w="812"/>
        <w:gridCol w:w="796"/>
      </w:tblGrid>
      <w:tr w14:paraId="59410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blHeader/>
          <w:jc w:val="center"/>
        </w:trPr>
        <w:tc>
          <w:tcPr>
            <w:tcW w:w="3367" w:type="dxa"/>
            <w:vMerge w:val="restart"/>
            <w:vAlign w:val="center"/>
          </w:tcPr>
          <w:p w14:paraId="7C9BDC94">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课程名称</w:t>
            </w:r>
          </w:p>
        </w:tc>
        <w:tc>
          <w:tcPr>
            <w:tcW w:w="709" w:type="dxa"/>
            <w:vMerge w:val="restart"/>
            <w:vAlign w:val="center"/>
          </w:tcPr>
          <w:p w14:paraId="026A1D7E">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学分</w:t>
            </w:r>
          </w:p>
        </w:tc>
        <w:tc>
          <w:tcPr>
            <w:tcW w:w="851" w:type="dxa"/>
            <w:vMerge w:val="restart"/>
            <w:vAlign w:val="center"/>
          </w:tcPr>
          <w:p w14:paraId="3BFA2AD6">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总学时数</w:t>
            </w:r>
          </w:p>
        </w:tc>
        <w:tc>
          <w:tcPr>
            <w:tcW w:w="1701" w:type="dxa"/>
            <w:gridSpan w:val="3"/>
            <w:vAlign w:val="center"/>
          </w:tcPr>
          <w:p w14:paraId="074A3934">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学时分配</w:t>
            </w:r>
          </w:p>
        </w:tc>
        <w:tc>
          <w:tcPr>
            <w:tcW w:w="708" w:type="dxa"/>
            <w:vMerge w:val="restart"/>
            <w:vAlign w:val="center"/>
          </w:tcPr>
          <w:p w14:paraId="458121C2">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考试课程</w:t>
            </w:r>
          </w:p>
        </w:tc>
        <w:tc>
          <w:tcPr>
            <w:tcW w:w="812" w:type="dxa"/>
            <w:vMerge w:val="restart"/>
            <w:vAlign w:val="center"/>
          </w:tcPr>
          <w:p w14:paraId="05F8ED37">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建议修读学期</w:t>
            </w:r>
          </w:p>
        </w:tc>
        <w:tc>
          <w:tcPr>
            <w:tcW w:w="796" w:type="dxa"/>
            <w:vMerge w:val="restart"/>
            <w:vAlign w:val="center"/>
          </w:tcPr>
          <w:p w14:paraId="39B11360">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备注</w:t>
            </w:r>
          </w:p>
        </w:tc>
      </w:tr>
      <w:tr w14:paraId="23F55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blHeader/>
          <w:jc w:val="center"/>
        </w:trPr>
        <w:tc>
          <w:tcPr>
            <w:tcW w:w="3367" w:type="dxa"/>
            <w:vMerge w:val="continue"/>
            <w:vAlign w:val="center"/>
          </w:tcPr>
          <w:p w14:paraId="2F945CBA">
            <w:pPr>
              <w:widowControl/>
              <w:snapToGrid w:val="0"/>
              <w:spacing w:line="400" w:lineRule="exact"/>
              <w:rPr>
                <w:rFonts w:hint="eastAsia" w:ascii="仿宋" w:hAnsi="仿宋" w:eastAsia="仿宋" w:cs="仿宋"/>
                <w:sz w:val="24"/>
                <w:szCs w:val="24"/>
              </w:rPr>
            </w:pPr>
          </w:p>
        </w:tc>
        <w:tc>
          <w:tcPr>
            <w:tcW w:w="709" w:type="dxa"/>
            <w:vMerge w:val="continue"/>
            <w:vAlign w:val="center"/>
          </w:tcPr>
          <w:p w14:paraId="69B62003">
            <w:pPr>
              <w:widowControl/>
              <w:snapToGrid w:val="0"/>
              <w:spacing w:line="400" w:lineRule="exact"/>
              <w:rPr>
                <w:rFonts w:hint="eastAsia" w:ascii="仿宋" w:hAnsi="仿宋" w:eastAsia="仿宋" w:cs="仿宋"/>
                <w:sz w:val="24"/>
                <w:szCs w:val="24"/>
              </w:rPr>
            </w:pPr>
          </w:p>
        </w:tc>
        <w:tc>
          <w:tcPr>
            <w:tcW w:w="851" w:type="dxa"/>
            <w:vMerge w:val="continue"/>
            <w:vAlign w:val="center"/>
          </w:tcPr>
          <w:p w14:paraId="0AF70822">
            <w:pPr>
              <w:widowControl/>
              <w:snapToGrid w:val="0"/>
              <w:spacing w:line="400" w:lineRule="exact"/>
              <w:rPr>
                <w:rFonts w:hint="eastAsia" w:ascii="仿宋" w:hAnsi="仿宋" w:eastAsia="仿宋" w:cs="仿宋"/>
                <w:sz w:val="24"/>
                <w:szCs w:val="24"/>
              </w:rPr>
            </w:pPr>
          </w:p>
        </w:tc>
        <w:tc>
          <w:tcPr>
            <w:tcW w:w="567" w:type="dxa"/>
            <w:vAlign w:val="center"/>
          </w:tcPr>
          <w:p w14:paraId="41FFA930">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讲</w:t>
            </w:r>
          </w:p>
          <w:p w14:paraId="080A700E">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授</w:t>
            </w:r>
          </w:p>
        </w:tc>
        <w:tc>
          <w:tcPr>
            <w:tcW w:w="567" w:type="dxa"/>
            <w:vAlign w:val="center"/>
          </w:tcPr>
          <w:p w14:paraId="137985DB">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实</w:t>
            </w:r>
          </w:p>
          <w:p w14:paraId="3810E1F3">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验</w:t>
            </w:r>
          </w:p>
        </w:tc>
        <w:tc>
          <w:tcPr>
            <w:tcW w:w="567" w:type="dxa"/>
            <w:vAlign w:val="center"/>
          </w:tcPr>
          <w:p w14:paraId="7AB8F460">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实</w:t>
            </w:r>
          </w:p>
          <w:p w14:paraId="2484038F">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践</w:t>
            </w:r>
          </w:p>
        </w:tc>
        <w:tc>
          <w:tcPr>
            <w:tcW w:w="708" w:type="dxa"/>
            <w:vMerge w:val="continue"/>
            <w:vAlign w:val="center"/>
          </w:tcPr>
          <w:p w14:paraId="77894203">
            <w:pPr>
              <w:widowControl/>
              <w:snapToGrid w:val="0"/>
              <w:spacing w:line="400" w:lineRule="exact"/>
              <w:rPr>
                <w:rFonts w:hint="eastAsia" w:ascii="仿宋" w:hAnsi="仿宋" w:eastAsia="仿宋" w:cs="仿宋"/>
                <w:sz w:val="24"/>
                <w:szCs w:val="24"/>
              </w:rPr>
            </w:pPr>
          </w:p>
        </w:tc>
        <w:tc>
          <w:tcPr>
            <w:tcW w:w="812" w:type="dxa"/>
            <w:vMerge w:val="continue"/>
            <w:vAlign w:val="center"/>
          </w:tcPr>
          <w:p w14:paraId="67B66EB7">
            <w:pPr>
              <w:widowControl/>
              <w:snapToGrid w:val="0"/>
              <w:spacing w:line="400" w:lineRule="exact"/>
              <w:rPr>
                <w:rFonts w:hint="eastAsia" w:ascii="仿宋" w:hAnsi="仿宋" w:eastAsia="仿宋" w:cs="仿宋"/>
                <w:sz w:val="24"/>
                <w:szCs w:val="24"/>
              </w:rPr>
            </w:pPr>
          </w:p>
        </w:tc>
        <w:tc>
          <w:tcPr>
            <w:tcW w:w="796" w:type="dxa"/>
            <w:vMerge w:val="continue"/>
            <w:vAlign w:val="center"/>
          </w:tcPr>
          <w:p w14:paraId="5CC2459C">
            <w:pPr>
              <w:widowControl/>
              <w:snapToGrid w:val="0"/>
              <w:spacing w:line="400" w:lineRule="exact"/>
              <w:rPr>
                <w:rFonts w:hint="eastAsia" w:ascii="仿宋" w:hAnsi="仿宋" w:eastAsia="仿宋" w:cs="仿宋"/>
                <w:sz w:val="24"/>
                <w:szCs w:val="24"/>
              </w:rPr>
            </w:pPr>
          </w:p>
        </w:tc>
      </w:tr>
      <w:tr w14:paraId="7AB64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3367" w:type="dxa"/>
            <w:vAlign w:val="center"/>
          </w:tcPr>
          <w:p w14:paraId="728487BA">
            <w:pPr>
              <w:widowControl/>
              <w:snapToGrid w:val="0"/>
              <w:spacing w:line="400" w:lineRule="exact"/>
              <w:rPr>
                <w:rFonts w:hint="eastAsia" w:ascii="仿宋" w:hAnsi="仿宋" w:eastAsia="仿宋" w:cs="仿宋"/>
                <w:sz w:val="24"/>
                <w:szCs w:val="24"/>
              </w:rPr>
            </w:pPr>
            <w:r>
              <w:rPr>
                <w:rFonts w:hint="eastAsia" w:ascii="仿宋" w:hAnsi="仿宋" w:eastAsia="仿宋" w:cs="仿宋"/>
                <w:sz w:val="24"/>
                <w:szCs w:val="24"/>
              </w:rPr>
              <w:t>中小学生心理评估与风险识别</w:t>
            </w:r>
          </w:p>
        </w:tc>
        <w:tc>
          <w:tcPr>
            <w:tcW w:w="709" w:type="dxa"/>
            <w:vAlign w:val="center"/>
          </w:tcPr>
          <w:p w14:paraId="6157E59A">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851" w:type="dxa"/>
            <w:vAlign w:val="center"/>
          </w:tcPr>
          <w:p w14:paraId="041028AE">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48</w:t>
            </w:r>
          </w:p>
        </w:tc>
        <w:tc>
          <w:tcPr>
            <w:tcW w:w="567" w:type="dxa"/>
            <w:vAlign w:val="center"/>
          </w:tcPr>
          <w:p w14:paraId="7AF5459E">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16</w:t>
            </w:r>
          </w:p>
        </w:tc>
        <w:tc>
          <w:tcPr>
            <w:tcW w:w="567" w:type="dxa"/>
            <w:vAlign w:val="center"/>
          </w:tcPr>
          <w:p w14:paraId="2E7CB742">
            <w:pPr>
              <w:widowControl/>
              <w:snapToGrid w:val="0"/>
              <w:spacing w:line="400" w:lineRule="exact"/>
              <w:jc w:val="center"/>
              <w:rPr>
                <w:rFonts w:hint="eastAsia" w:ascii="仿宋" w:hAnsi="仿宋" w:eastAsia="仿宋" w:cs="仿宋"/>
                <w:sz w:val="24"/>
                <w:szCs w:val="24"/>
              </w:rPr>
            </w:pPr>
          </w:p>
        </w:tc>
        <w:tc>
          <w:tcPr>
            <w:tcW w:w="567" w:type="dxa"/>
            <w:vAlign w:val="center"/>
          </w:tcPr>
          <w:p w14:paraId="018F385F">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32</w:t>
            </w:r>
          </w:p>
        </w:tc>
        <w:tc>
          <w:tcPr>
            <w:tcW w:w="708" w:type="dxa"/>
            <w:vAlign w:val="center"/>
          </w:tcPr>
          <w:p w14:paraId="6E723C5F">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考查</w:t>
            </w:r>
          </w:p>
        </w:tc>
        <w:tc>
          <w:tcPr>
            <w:tcW w:w="812" w:type="dxa"/>
            <w:vAlign w:val="center"/>
          </w:tcPr>
          <w:p w14:paraId="2F82FAA1">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796" w:type="dxa"/>
            <w:vAlign w:val="center"/>
          </w:tcPr>
          <w:p w14:paraId="4ED5CA14">
            <w:pPr>
              <w:widowControl/>
              <w:adjustRightInd w:val="0"/>
              <w:snapToGrid w:val="0"/>
              <w:spacing w:line="400" w:lineRule="exact"/>
              <w:jc w:val="center"/>
              <w:rPr>
                <w:rFonts w:hint="eastAsia" w:ascii="仿宋" w:hAnsi="仿宋" w:eastAsia="仿宋" w:cs="仿宋"/>
                <w:sz w:val="24"/>
                <w:szCs w:val="24"/>
              </w:rPr>
            </w:pPr>
          </w:p>
        </w:tc>
      </w:tr>
      <w:tr w14:paraId="71179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3367" w:type="dxa"/>
            <w:vAlign w:val="center"/>
          </w:tcPr>
          <w:p w14:paraId="6C63C814">
            <w:pPr>
              <w:widowControl/>
              <w:snapToGrid w:val="0"/>
              <w:spacing w:line="400" w:lineRule="exact"/>
              <w:rPr>
                <w:rFonts w:hint="eastAsia" w:ascii="仿宋" w:hAnsi="仿宋" w:eastAsia="仿宋" w:cs="仿宋"/>
                <w:sz w:val="24"/>
                <w:szCs w:val="24"/>
              </w:rPr>
            </w:pPr>
            <w:r>
              <w:rPr>
                <w:rFonts w:hint="eastAsia" w:ascii="仿宋" w:hAnsi="仿宋" w:eastAsia="仿宋" w:cs="仿宋"/>
                <w:sz w:val="24"/>
                <w:szCs w:val="24"/>
              </w:rPr>
              <w:t>心理咨询理论与实务</w:t>
            </w:r>
          </w:p>
        </w:tc>
        <w:tc>
          <w:tcPr>
            <w:tcW w:w="709" w:type="dxa"/>
            <w:vAlign w:val="center"/>
          </w:tcPr>
          <w:p w14:paraId="4AFF9B1B">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851" w:type="dxa"/>
            <w:vAlign w:val="center"/>
          </w:tcPr>
          <w:p w14:paraId="4AEE2DC1">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48</w:t>
            </w:r>
          </w:p>
        </w:tc>
        <w:tc>
          <w:tcPr>
            <w:tcW w:w="567" w:type="dxa"/>
            <w:vAlign w:val="center"/>
          </w:tcPr>
          <w:p w14:paraId="2E5E21E0">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16</w:t>
            </w:r>
          </w:p>
        </w:tc>
        <w:tc>
          <w:tcPr>
            <w:tcW w:w="567" w:type="dxa"/>
            <w:vAlign w:val="center"/>
          </w:tcPr>
          <w:p w14:paraId="6C466344">
            <w:pPr>
              <w:widowControl/>
              <w:snapToGrid w:val="0"/>
              <w:spacing w:line="400" w:lineRule="exact"/>
              <w:jc w:val="center"/>
              <w:rPr>
                <w:rFonts w:hint="eastAsia" w:ascii="仿宋" w:hAnsi="仿宋" w:eastAsia="仿宋" w:cs="仿宋"/>
                <w:sz w:val="24"/>
                <w:szCs w:val="24"/>
              </w:rPr>
            </w:pPr>
          </w:p>
        </w:tc>
        <w:tc>
          <w:tcPr>
            <w:tcW w:w="567" w:type="dxa"/>
            <w:vAlign w:val="center"/>
          </w:tcPr>
          <w:p w14:paraId="635B2030">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32</w:t>
            </w:r>
          </w:p>
        </w:tc>
        <w:tc>
          <w:tcPr>
            <w:tcW w:w="708" w:type="dxa"/>
            <w:vAlign w:val="center"/>
          </w:tcPr>
          <w:p w14:paraId="39EEAE46">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考查</w:t>
            </w:r>
          </w:p>
        </w:tc>
        <w:tc>
          <w:tcPr>
            <w:tcW w:w="812" w:type="dxa"/>
            <w:vAlign w:val="center"/>
          </w:tcPr>
          <w:p w14:paraId="14A08F4B">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796" w:type="dxa"/>
            <w:vAlign w:val="center"/>
          </w:tcPr>
          <w:p w14:paraId="6EA5FE3E">
            <w:pPr>
              <w:widowControl/>
              <w:adjustRightInd w:val="0"/>
              <w:snapToGrid w:val="0"/>
              <w:spacing w:line="400" w:lineRule="exact"/>
              <w:jc w:val="center"/>
              <w:rPr>
                <w:rFonts w:hint="eastAsia" w:ascii="仿宋" w:hAnsi="仿宋" w:eastAsia="仿宋" w:cs="仿宋"/>
                <w:sz w:val="24"/>
                <w:szCs w:val="24"/>
              </w:rPr>
            </w:pPr>
          </w:p>
        </w:tc>
      </w:tr>
      <w:tr w14:paraId="5664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3367" w:type="dxa"/>
            <w:vAlign w:val="center"/>
          </w:tcPr>
          <w:p w14:paraId="464B7EC5">
            <w:pPr>
              <w:widowControl/>
              <w:snapToGrid w:val="0"/>
              <w:spacing w:line="400" w:lineRule="exact"/>
              <w:rPr>
                <w:rFonts w:hint="eastAsia" w:ascii="仿宋" w:hAnsi="仿宋" w:eastAsia="仿宋" w:cs="仿宋"/>
                <w:sz w:val="24"/>
                <w:szCs w:val="24"/>
              </w:rPr>
            </w:pPr>
            <w:r>
              <w:rPr>
                <w:rFonts w:hint="eastAsia" w:ascii="仿宋" w:hAnsi="仿宋" w:eastAsia="仿宋" w:cs="仿宋"/>
                <w:sz w:val="24"/>
                <w:szCs w:val="24"/>
              </w:rPr>
              <w:t>心理干预实操技能</w:t>
            </w:r>
          </w:p>
        </w:tc>
        <w:tc>
          <w:tcPr>
            <w:tcW w:w="709" w:type="dxa"/>
            <w:vAlign w:val="center"/>
          </w:tcPr>
          <w:p w14:paraId="594B1B5D">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851" w:type="dxa"/>
            <w:vAlign w:val="center"/>
          </w:tcPr>
          <w:p w14:paraId="3165A9C9">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27</w:t>
            </w:r>
          </w:p>
        </w:tc>
        <w:tc>
          <w:tcPr>
            <w:tcW w:w="567" w:type="dxa"/>
            <w:vAlign w:val="center"/>
          </w:tcPr>
          <w:p w14:paraId="242F462F">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9</w:t>
            </w:r>
          </w:p>
        </w:tc>
        <w:tc>
          <w:tcPr>
            <w:tcW w:w="567" w:type="dxa"/>
            <w:vAlign w:val="center"/>
          </w:tcPr>
          <w:p w14:paraId="44A43B76">
            <w:pPr>
              <w:widowControl/>
              <w:snapToGrid w:val="0"/>
              <w:spacing w:line="400" w:lineRule="exact"/>
              <w:jc w:val="center"/>
              <w:rPr>
                <w:rFonts w:hint="eastAsia" w:ascii="仿宋" w:hAnsi="仿宋" w:eastAsia="仿宋" w:cs="仿宋"/>
                <w:sz w:val="24"/>
                <w:szCs w:val="24"/>
              </w:rPr>
            </w:pPr>
          </w:p>
        </w:tc>
        <w:tc>
          <w:tcPr>
            <w:tcW w:w="567" w:type="dxa"/>
            <w:vAlign w:val="center"/>
          </w:tcPr>
          <w:p w14:paraId="6B89F528">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18</w:t>
            </w:r>
          </w:p>
        </w:tc>
        <w:tc>
          <w:tcPr>
            <w:tcW w:w="708" w:type="dxa"/>
            <w:vAlign w:val="center"/>
          </w:tcPr>
          <w:p w14:paraId="268EF0D3">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考查</w:t>
            </w:r>
          </w:p>
        </w:tc>
        <w:tc>
          <w:tcPr>
            <w:tcW w:w="812" w:type="dxa"/>
            <w:vAlign w:val="center"/>
          </w:tcPr>
          <w:p w14:paraId="54B99AB4">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796" w:type="dxa"/>
            <w:vAlign w:val="center"/>
          </w:tcPr>
          <w:p w14:paraId="6F70D33D">
            <w:pPr>
              <w:widowControl/>
              <w:adjustRightInd w:val="0"/>
              <w:snapToGrid w:val="0"/>
              <w:spacing w:line="400" w:lineRule="exact"/>
              <w:jc w:val="center"/>
              <w:rPr>
                <w:rFonts w:hint="eastAsia" w:ascii="仿宋" w:hAnsi="仿宋" w:eastAsia="仿宋" w:cs="仿宋"/>
                <w:sz w:val="24"/>
                <w:szCs w:val="24"/>
              </w:rPr>
            </w:pPr>
          </w:p>
        </w:tc>
      </w:tr>
      <w:tr w14:paraId="1B186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3367" w:type="dxa"/>
            <w:vAlign w:val="center"/>
          </w:tcPr>
          <w:p w14:paraId="3DF7961C">
            <w:pPr>
              <w:widowControl/>
              <w:snapToGrid w:val="0"/>
              <w:spacing w:line="400" w:lineRule="exact"/>
              <w:rPr>
                <w:rFonts w:hint="eastAsia" w:ascii="仿宋" w:hAnsi="仿宋" w:eastAsia="仿宋" w:cs="仿宋"/>
                <w:sz w:val="24"/>
                <w:szCs w:val="24"/>
              </w:rPr>
            </w:pPr>
            <w:r>
              <w:rPr>
                <w:rFonts w:hint="eastAsia" w:ascii="仿宋" w:hAnsi="仿宋" w:eastAsia="仿宋" w:cs="仿宋"/>
                <w:sz w:val="24"/>
                <w:szCs w:val="24"/>
              </w:rPr>
              <w:t>学习心理辅导</w:t>
            </w:r>
          </w:p>
        </w:tc>
        <w:tc>
          <w:tcPr>
            <w:tcW w:w="709" w:type="dxa"/>
            <w:vAlign w:val="center"/>
          </w:tcPr>
          <w:p w14:paraId="5E46733B">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851" w:type="dxa"/>
            <w:vAlign w:val="center"/>
          </w:tcPr>
          <w:p w14:paraId="4FBF8E13">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48</w:t>
            </w:r>
          </w:p>
        </w:tc>
        <w:tc>
          <w:tcPr>
            <w:tcW w:w="567" w:type="dxa"/>
            <w:vAlign w:val="center"/>
          </w:tcPr>
          <w:p w14:paraId="02BA6179">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16</w:t>
            </w:r>
          </w:p>
        </w:tc>
        <w:tc>
          <w:tcPr>
            <w:tcW w:w="567" w:type="dxa"/>
            <w:vAlign w:val="center"/>
          </w:tcPr>
          <w:p w14:paraId="433A0805">
            <w:pPr>
              <w:widowControl/>
              <w:snapToGrid w:val="0"/>
              <w:spacing w:line="400" w:lineRule="exact"/>
              <w:jc w:val="center"/>
              <w:rPr>
                <w:rFonts w:hint="eastAsia" w:ascii="仿宋" w:hAnsi="仿宋" w:eastAsia="仿宋" w:cs="仿宋"/>
                <w:sz w:val="24"/>
                <w:szCs w:val="24"/>
              </w:rPr>
            </w:pPr>
          </w:p>
        </w:tc>
        <w:tc>
          <w:tcPr>
            <w:tcW w:w="567" w:type="dxa"/>
            <w:vAlign w:val="center"/>
          </w:tcPr>
          <w:p w14:paraId="24526FFA">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32</w:t>
            </w:r>
          </w:p>
        </w:tc>
        <w:tc>
          <w:tcPr>
            <w:tcW w:w="708" w:type="dxa"/>
            <w:vAlign w:val="center"/>
          </w:tcPr>
          <w:p w14:paraId="099E913B">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考查</w:t>
            </w:r>
          </w:p>
        </w:tc>
        <w:tc>
          <w:tcPr>
            <w:tcW w:w="812" w:type="dxa"/>
            <w:vAlign w:val="center"/>
          </w:tcPr>
          <w:p w14:paraId="23363BE2">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796" w:type="dxa"/>
            <w:vAlign w:val="center"/>
          </w:tcPr>
          <w:p w14:paraId="72A41076">
            <w:pPr>
              <w:widowControl/>
              <w:adjustRightInd w:val="0"/>
              <w:snapToGrid w:val="0"/>
              <w:spacing w:line="400" w:lineRule="exact"/>
              <w:jc w:val="center"/>
              <w:rPr>
                <w:rFonts w:hint="eastAsia" w:ascii="仿宋" w:hAnsi="仿宋" w:eastAsia="仿宋" w:cs="仿宋"/>
                <w:sz w:val="24"/>
                <w:szCs w:val="24"/>
              </w:rPr>
            </w:pPr>
          </w:p>
        </w:tc>
      </w:tr>
      <w:tr w14:paraId="0B4C9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3367" w:type="dxa"/>
            <w:vAlign w:val="center"/>
          </w:tcPr>
          <w:p w14:paraId="11C1F60D">
            <w:pPr>
              <w:widowControl/>
              <w:snapToGrid w:val="0"/>
              <w:spacing w:line="400" w:lineRule="exact"/>
              <w:rPr>
                <w:rFonts w:hint="eastAsia" w:ascii="仿宋" w:hAnsi="仿宋" w:eastAsia="仿宋" w:cs="仿宋"/>
                <w:sz w:val="24"/>
                <w:szCs w:val="24"/>
              </w:rPr>
            </w:pPr>
            <w:r>
              <w:rPr>
                <w:rFonts w:hint="eastAsia" w:ascii="仿宋" w:hAnsi="仿宋" w:eastAsia="仿宋" w:cs="仿宋"/>
                <w:sz w:val="24"/>
                <w:szCs w:val="24"/>
              </w:rPr>
              <w:t>家庭心理辅导</w:t>
            </w:r>
          </w:p>
        </w:tc>
        <w:tc>
          <w:tcPr>
            <w:tcW w:w="709" w:type="dxa"/>
            <w:vAlign w:val="center"/>
          </w:tcPr>
          <w:p w14:paraId="59090938">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851" w:type="dxa"/>
            <w:vAlign w:val="center"/>
          </w:tcPr>
          <w:p w14:paraId="4AB38189">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48</w:t>
            </w:r>
          </w:p>
        </w:tc>
        <w:tc>
          <w:tcPr>
            <w:tcW w:w="567" w:type="dxa"/>
            <w:vAlign w:val="center"/>
          </w:tcPr>
          <w:p w14:paraId="637D3697">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16</w:t>
            </w:r>
          </w:p>
        </w:tc>
        <w:tc>
          <w:tcPr>
            <w:tcW w:w="567" w:type="dxa"/>
            <w:vAlign w:val="center"/>
          </w:tcPr>
          <w:p w14:paraId="55A4262E">
            <w:pPr>
              <w:widowControl/>
              <w:snapToGrid w:val="0"/>
              <w:spacing w:line="400" w:lineRule="exact"/>
              <w:jc w:val="center"/>
              <w:rPr>
                <w:rFonts w:hint="eastAsia" w:ascii="仿宋" w:hAnsi="仿宋" w:eastAsia="仿宋" w:cs="仿宋"/>
                <w:sz w:val="24"/>
                <w:szCs w:val="24"/>
              </w:rPr>
            </w:pPr>
          </w:p>
        </w:tc>
        <w:tc>
          <w:tcPr>
            <w:tcW w:w="567" w:type="dxa"/>
            <w:vAlign w:val="center"/>
          </w:tcPr>
          <w:p w14:paraId="15599F0F">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32</w:t>
            </w:r>
          </w:p>
        </w:tc>
        <w:tc>
          <w:tcPr>
            <w:tcW w:w="708" w:type="dxa"/>
            <w:vAlign w:val="center"/>
          </w:tcPr>
          <w:p w14:paraId="2A37CEF4">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考查</w:t>
            </w:r>
          </w:p>
        </w:tc>
        <w:tc>
          <w:tcPr>
            <w:tcW w:w="812" w:type="dxa"/>
            <w:vAlign w:val="center"/>
          </w:tcPr>
          <w:p w14:paraId="3A0B2B93">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796" w:type="dxa"/>
            <w:vAlign w:val="center"/>
          </w:tcPr>
          <w:p w14:paraId="59938470">
            <w:pPr>
              <w:widowControl/>
              <w:adjustRightInd w:val="0"/>
              <w:snapToGrid w:val="0"/>
              <w:spacing w:line="400" w:lineRule="exact"/>
              <w:jc w:val="center"/>
              <w:rPr>
                <w:rFonts w:hint="eastAsia" w:ascii="仿宋" w:hAnsi="仿宋" w:eastAsia="仿宋" w:cs="仿宋"/>
                <w:sz w:val="24"/>
                <w:szCs w:val="24"/>
              </w:rPr>
            </w:pPr>
          </w:p>
        </w:tc>
      </w:tr>
      <w:tr w14:paraId="5BE0E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3367" w:type="dxa"/>
            <w:vAlign w:val="center"/>
          </w:tcPr>
          <w:p w14:paraId="13FB2D6F">
            <w:pPr>
              <w:widowControl/>
              <w:snapToGrid w:val="0"/>
              <w:spacing w:line="400" w:lineRule="exact"/>
              <w:rPr>
                <w:rFonts w:hint="eastAsia" w:ascii="仿宋" w:hAnsi="仿宋" w:eastAsia="仿宋" w:cs="仿宋"/>
                <w:sz w:val="24"/>
                <w:szCs w:val="24"/>
              </w:rPr>
            </w:pPr>
            <w:r>
              <w:rPr>
                <w:rFonts w:hint="eastAsia" w:ascii="仿宋" w:hAnsi="仿宋" w:eastAsia="仿宋" w:cs="仿宋"/>
                <w:sz w:val="24"/>
                <w:szCs w:val="24"/>
              </w:rPr>
              <w:t>团体心理辅导</w:t>
            </w:r>
          </w:p>
        </w:tc>
        <w:tc>
          <w:tcPr>
            <w:tcW w:w="709" w:type="dxa"/>
            <w:vAlign w:val="center"/>
          </w:tcPr>
          <w:p w14:paraId="260AB82B">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851" w:type="dxa"/>
            <w:vAlign w:val="center"/>
          </w:tcPr>
          <w:p w14:paraId="04480FFC">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27</w:t>
            </w:r>
          </w:p>
        </w:tc>
        <w:tc>
          <w:tcPr>
            <w:tcW w:w="567" w:type="dxa"/>
            <w:vAlign w:val="center"/>
          </w:tcPr>
          <w:p w14:paraId="5B99D92A">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9</w:t>
            </w:r>
          </w:p>
        </w:tc>
        <w:tc>
          <w:tcPr>
            <w:tcW w:w="567" w:type="dxa"/>
            <w:vAlign w:val="center"/>
          </w:tcPr>
          <w:p w14:paraId="382CF6F3">
            <w:pPr>
              <w:widowControl/>
              <w:snapToGrid w:val="0"/>
              <w:spacing w:line="400" w:lineRule="exact"/>
              <w:jc w:val="center"/>
              <w:rPr>
                <w:rFonts w:hint="eastAsia" w:ascii="仿宋" w:hAnsi="仿宋" w:eastAsia="仿宋" w:cs="仿宋"/>
                <w:sz w:val="24"/>
                <w:szCs w:val="24"/>
              </w:rPr>
            </w:pPr>
          </w:p>
        </w:tc>
        <w:tc>
          <w:tcPr>
            <w:tcW w:w="567" w:type="dxa"/>
            <w:vAlign w:val="center"/>
          </w:tcPr>
          <w:p w14:paraId="300AA830">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18</w:t>
            </w:r>
          </w:p>
        </w:tc>
        <w:tc>
          <w:tcPr>
            <w:tcW w:w="708" w:type="dxa"/>
            <w:vAlign w:val="center"/>
          </w:tcPr>
          <w:p w14:paraId="23E30019">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考查</w:t>
            </w:r>
          </w:p>
        </w:tc>
        <w:tc>
          <w:tcPr>
            <w:tcW w:w="812" w:type="dxa"/>
            <w:vAlign w:val="center"/>
          </w:tcPr>
          <w:p w14:paraId="56877D92">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796" w:type="dxa"/>
            <w:vAlign w:val="center"/>
          </w:tcPr>
          <w:p w14:paraId="26E9369D">
            <w:pPr>
              <w:widowControl/>
              <w:adjustRightInd w:val="0"/>
              <w:snapToGrid w:val="0"/>
              <w:spacing w:line="400" w:lineRule="exact"/>
              <w:jc w:val="center"/>
              <w:rPr>
                <w:rFonts w:hint="eastAsia" w:ascii="仿宋" w:hAnsi="仿宋" w:eastAsia="仿宋" w:cs="仿宋"/>
                <w:sz w:val="24"/>
                <w:szCs w:val="24"/>
              </w:rPr>
            </w:pPr>
          </w:p>
        </w:tc>
      </w:tr>
      <w:tr w14:paraId="04A6B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3367" w:type="dxa"/>
            <w:vAlign w:val="center"/>
          </w:tcPr>
          <w:p w14:paraId="4A03FC54">
            <w:pPr>
              <w:widowControl/>
              <w:snapToGrid w:val="0"/>
              <w:spacing w:line="400" w:lineRule="exact"/>
              <w:rPr>
                <w:rFonts w:hint="eastAsia" w:ascii="仿宋" w:hAnsi="仿宋" w:eastAsia="仿宋" w:cs="仿宋"/>
                <w:sz w:val="24"/>
                <w:szCs w:val="24"/>
              </w:rPr>
            </w:pPr>
            <w:r>
              <w:rPr>
                <w:rFonts w:hint="eastAsia" w:ascii="仿宋" w:hAnsi="仿宋" w:eastAsia="仿宋" w:cs="仿宋"/>
                <w:sz w:val="24"/>
                <w:szCs w:val="24"/>
              </w:rPr>
              <w:t>合计</w:t>
            </w:r>
          </w:p>
        </w:tc>
        <w:tc>
          <w:tcPr>
            <w:tcW w:w="709" w:type="dxa"/>
            <w:vAlign w:val="center"/>
          </w:tcPr>
          <w:p w14:paraId="15F3FED5">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10</w:t>
            </w:r>
          </w:p>
        </w:tc>
        <w:tc>
          <w:tcPr>
            <w:tcW w:w="851" w:type="dxa"/>
            <w:vAlign w:val="center"/>
          </w:tcPr>
          <w:p w14:paraId="4C83DC76">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246</w:t>
            </w:r>
          </w:p>
        </w:tc>
        <w:tc>
          <w:tcPr>
            <w:tcW w:w="567" w:type="dxa"/>
            <w:vAlign w:val="center"/>
          </w:tcPr>
          <w:p w14:paraId="79AD85B6">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82</w:t>
            </w:r>
          </w:p>
        </w:tc>
        <w:tc>
          <w:tcPr>
            <w:tcW w:w="567" w:type="dxa"/>
            <w:vAlign w:val="center"/>
          </w:tcPr>
          <w:p w14:paraId="10EF9812">
            <w:pPr>
              <w:widowControl/>
              <w:snapToGrid w:val="0"/>
              <w:spacing w:line="400" w:lineRule="exact"/>
              <w:jc w:val="center"/>
              <w:rPr>
                <w:rFonts w:hint="eastAsia" w:ascii="仿宋" w:hAnsi="仿宋" w:eastAsia="仿宋" w:cs="仿宋"/>
                <w:sz w:val="24"/>
                <w:szCs w:val="24"/>
              </w:rPr>
            </w:pPr>
          </w:p>
        </w:tc>
        <w:tc>
          <w:tcPr>
            <w:tcW w:w="567" w:type="dxa"/>
            <w:vAlign w:val="center"/>
          </w:tcPr>
          <w:p w14:paraId="52A9B53E">
            <w:pPr>
              <w:widowControl/>
              <w:snapToGrid w:val="0"/>
              <w:spacing w:line="400" w:lineRule="exact"/>
              <w:jc w:val="center"/>
              <w:rPr>
                <w:rFonts w:hint="eastAsia" w:ascii="仿宋" w:hAnsi="仿宋" w:eastAsia="仿宋" w:cs="仿宋"/>
                <w:sz w:val="24"/>
                <w:szCs w:val="24"/>
              </w:rPr>
            </w:pPr>
            <w:r>
              <w:rPr>
                <w:rFonts w:hint="eastAsia" w:ascii="仿宋" w:hAnsi="仿宋" w:eastAsia="仿宋" w:cs="仿宋"/>
                <w:sz w:val="24"/>
                <w:szCs w:val="24"/>
              </w:rPr>
              <w:t>164</w:t>
            </w:r>
          </w:p>
        </w:tc>
        <w:tc>
          <w:tcPr>
            <w:tcW w:w="708" w:type="dxa"/>
            <w:vAlign w:val="center"/>
          </w:tcPr>
          <w:p w14:paraId="539AE908">
            <w:pPr>
              <w:widowControl/>
              <w:snapToGrid w:val="0"/>
              <w:spacing w:line="400" w:lineRule="exact"/>
              <w:jc w:val="center"/>
              <w:rPr>
                <w:rFonts w:hint="eastAsia" w:ascii="仿宋" w:hAnsi="仿宋" w:eastAsia="仿宋" w:cs="仿宋"/>
                <w:sz w:val="24"/>
                <w:szCs w:val="24"/>
              </w:rPr>
            </w:pPr>
          </w:p>
        </w:tc>
        <w:tc>
          <w:tcPr>
            <w:tcW w:w="812" w:type="dxa"/>
            <w:vAlign w:val="center"/>
          </w:tcPr>
          <w:p w14:paraId="78EACC1E">
            <w:pPr>
              <w:widowControl/>
              <w:snapToGrid w:val="0"/>
              <w:spacing w:line="400" w:lineRule="exact"/>
              <w:jc w:val="center"/>
              <w:rPr>
                <w:rFonts w:hint="eastAsia" w:ascii="仿宋" w:hAnsi="仿宋" w:eastAsia="仿宋" w:cs="仿宋"/>
                <w:sz w:val="24"/>
                <w:szCs w:val="24"/>
              </w:rPr>
            </w:pPr>
          </w:p>
        </w:tc>
        <w:tc>
          <w:tcPr>
            <w:tcW w:w="796" w:type="dxa"/>
            <w:vAlign w:val="center"/>
          </w:tcPr>
          <w:p w14:paraId="62A59089">
            <w:pPr>
              <w:widowControl/>
              <w:adjustRightInd w:val="0"/>
              <w:snapToGrid w:val="0"/>
              <w:spacing w:line="400" w:lineRule="exact"/>
              <w:jc w:val="center"/>
              <w:rPr>
                <w:rFonts w:hint="eastAsia" w:ascii="仿宋" w:hAnsi="仿宋" w:eastAsia="仿宋" w:cs="仿宋"/>
                <w:sz w:val="24"/>
                <w:szCs w:val="24"/>
              </w:rPr>
            </w:pPr>
          </w:p>
        </w:tc>
      </w:tr>
    </w:tbl>
    <w:p w14:paraId="2F09FB62">
      <w:pPr>
        <w:spacing w:line="400" w:lineRule="exact"/>
        <w:ind w:firstLine="480" w:firstLineChars="200"/>
        <w:rPr>
          <w:rFonts w:hint="eastAsia" w:ascii="仿宋" w:hAnsi="仿宋" w:eastAsia="仿宋" w:cs="仿宋"/>
          <w:sz w:val="24"/>
          <w:szCs w:val="24"/>
          <w14:ligatures w14:val="none"/>
        </w:rPr>
      </w:pPr>
      <w:bookmarkStart w:id="1" w:name="_GoBack"/>
      <w:bookmarkEnd w:id="1"/>
    </w:p>
    <w:p w14:paraId="4FC3692A">
      <w:pPr>
        <w:spacing w:line="40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七、教学实施方式</w:t>
      </w:r>
    </w:p>
    <w:p w14:paraId="16A6624D">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 理论教学：采用课堂讲授、案例研讨、政策解读、专题讲座等形式开展，夯实理论基础。</w:t>
      </w:r>
    </w:p>
    <w:p w14:paraId="0815E8FC">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 实践实训：包含模拟演练、案例分析、方案设计、校外基地观摩、一线案例研讨等，强化家校共育场景实操训练。</w:t>
      </w:r>
    </w:p>
    <w:p w14:paraId="4B97CA30">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 师资构成：以教育科学学院心理学专职教师为主，同时聘请中小学一线心理教师、家庭教育行业专家承担部分实践专题教学，构建专兼结合教学团队。</w:t>
      </w:r>
    </w:p>
    <w:p w14:paraId="4ED1DF67">
      <w:pPr>
        <w:spacing w:line="400" w:lineRule="exact"/>
        <w:ind w:firstLine="480" w:firstLineChars="200"/>
        <w:rPr>
          <w:rFonts w:hint="eastAsia" w:ascii="仿宋" w:hAnsi="仿宋" w:eastAsia="仿宋" w:cs="仿宋"/>
          <w:sz w:val="24"/>
          <w:szCs w:val="24"/>
          <w14:ligatures w14:val="none"/>
        </w:rPr>
      </w:pPr>
    </w:p>
    <w:p w14:paraId="19346796">
      <w:pPr>
        <w:spacing w:line="400" w:lineRule="exact"/>
        <w:ind w:firstLine="480" w:firstLineChars="200"/>
        <w:rPr>
          <w:rFonts w:hint="eastAsia" w:ascii="仿宋" w:hAnsi="仿宋" w:eastAsia="仿宋" w:cs="仿宋"/>
          <w:sz w:val="24"/>
          <w:szCs w:val="24"/>
          <w14:ligatures w14:val="none"/>
        </w:rPr>
      </w:pPr>
      <w:r>
        <w:rPr>
          <w:rFonts w:hint="eastAsia" w:ascii="仿宋" w:hAnsi="仿宋" w:eastAsia="仿宋" w:cs="仿宋"/>
          <w:sz w:val="24"/>
          <w:szCs w:val="24"/>
          <w14:ligatures w14:val="none"/>
        </w:rPr>
        <w:t>八、教学资源与条件保障</w:t>
      </w:r>
    </w:p>
    <w:p w14:paraId="0A76984C">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（一）师资保障</w:t>
      </w:r>
    </w:p>
    <w:p w14:paraId="02BD54EF">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教学团队由发展与教育心理学、临床心理咨询方向教师组成，教师具备博士、教授、讲师多层次梯队，有国家级、省级教研科研项目经历，兼具理论研究、课堂教学和基础教育一线服务经验；校外兼职教师来自中小学心理教研岗位、家庭教育服务行业，保障实践教学落地。</w:t>
      </w:r>
    </w:p>
    <w:p w14:paraId="34700694">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（二）课程资源保障</w:t>
      </w:r>
    </w:p>
    <w:p w14:paraId="48B9269F">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依托学院心理学教研资源，建设家校共育典型案例库，配套线上学习资源，满足学生课前预习、案例研讨、课后拓展学习需要。</w:t>
      </w:r>
    </w:p>
    <w:p w14:paraId="020B7DDA">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（三）实践条件保障</w:t>
      </w:r>
    </w:p>
    <w:p w14:paraId="0DE7D0BE">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与地方中小学、家庭教育指导中心、社会心理服务机构共建校外实训平台，为学生提供案例观摩、实务训练渠道，实现理论学习与岗位实务对接。</w:t>
      </w:r>
    </w:p>
    <w:p w14:paraId="5FE5ABE2">
      <w:pPr>
        <w:spacing w:line="400" w:lineRule="exact"/>
        <w:ind w:firstLine="480" w:firstLineChars="200"/>
        <w:rPr>
          <w:rFonts w:hint="eastAsia" w:ascii="仿宋_GB2312" w:hAnsi="宋体" w:eastAsia="仿宋_GB2312" w:cs="Times New Roman"/>
          <w:sz w:val="24"/>
          <w:szCs w:val="24"/>
          <w14:ligatures w14:val="none"/>
        </w:rPr>
      </w:pPr>
    </w:p>
    <w:p w14:paraId="113FB383">
      <w:pPr>
        <w:spacing w:line="400" w:lineRule="exact"/>
        <w:ind w:firstLine="480" w:firstLineChars="200"/>
        <w:rPr>
          <w:rFonts w:hint="eastAsia" w:ascii="仿宋_GB2312" w:hAnsi="宋体" w:eastAsia="仿宋_GB2312" w:cs="Times New Roman"/>
          <w:sz w:val="24"/>
          <w:szCs w:val="24"/>
          <w14:ligatures w14:val="none"/>
        </w:rPr>
      </w:pPr>
      <w:r>
        <w:rPr>
          <w:rFonts w:hint="eastAsia" w:ascii="仿宋_GB2312" w:hAnsi="宋体" w:eastAsia="仿宋_GB2312" w:cs="Times New Roman"/>
          <w:sz w:val="24"/>
          <w:szCs w:val="24"/>
          <w14:ligatures w14:val="none"/>
        </w:rPr>
        <w:t>九、管理与结业</w:t>
      </w:r>
    </w:p>
    <w:p w14:paraId="53D672B1">
      <w:pPr>
        <w:spacing w:line="400" w:lineRule="exact"/>
        <w:ind w:firstLine="480" w:firstLineChars="200"/>
        <w:rPr>
          <w:rFonts w:hint="eastAsia" w:ascii="仿宋" w:hAnsi="仿宋" w:eastAsia="仿宋"/>
          <w:sz w:val="24"/>
          <w:szCs w:val="24"/>
        </w:rPr>
      </w:pPr>
      <w:r>
        <w:rPr>
          <w:rFonts w:hint="eastAsia" w:ascii="仿宋" w:hAnsi="仿宋" w:eastAsia="仿宋"/>
          <w:sz w:val="24"/>
          <w:szCs w:val="24"/>
        </w:rPr>
        <w:t>1. 教学管理：微专业教学由教育科学学院具体组织实施，教务处实行宏观管理。课程排课、成绩录入、过程管理按照学校微专业相关管理规定执行。</w:t>
      </w:r>
    </w:p>
    <w:p w14:paraId="64FAE2CA">
      <w:pPr>
        <w:spacing w:line="400" w:lineRule="exact"/>
        <w:ind w:firstLine="480" w:firstLineChars="200"/>
        <w:rPr>
          <w:rFonts w:hint="eastAsia" w:ascii="仿宋" w:hAnsi="仿宋" w:eastAsia="仿宋"/>
          <w:sz w:val="24"/>
          <w:szCs w:val="24"/>
        </w:rPr>
      </w:pPr>
      <w:r>
        <w:rPr>
          <w:rFonts w:hint="eastAsia" w:ascii="仿宋" w:hAnsi="仿宋" w:eastAsia="仿宋"/>
          <w:sz w:val="24"/>
          <w:szCs w:val="24"/>
        </w:rPr>
        <w:t>2. 学分管理：微专业学分单独记载，不替代主修专业必修、选修学分。</w:t>
      </w:r>
    </w:p>
    <w:p w14:paraId="07DB4E35">
      <w:pPr>
        <w:spacing w:line="400" w:lineRule="exact"/>
        <w:ind w:firstLine="480" w:firstLineChars="200"/>
        <w:rPr>
          <w:rFonts w:hint="eastAsia" w:ascii="仿宋" w:hAnsi="仿宋" w:eastAsia="仿宋"/>
          <w:sz w:val="24"/>
          <w:szCs w:val="24"/>
        </w:rPr>
      </w:pPr>
      <w:r>
        <w:rPr>
          <w:rFonts w:hint="eastAsia" w:ascii="仿宋" w:hAnsi="仿宋" w:eastAsia="仿宋"/>
          <w:sz w:val="24"/>
          <w:szCs w:val="24"/>
        </w:rPr>
        <w:t>3. 结业管理：学生修满全部 10 学分且课程全部考核合格，经学院审核、教务处复核后，发放微专业结业证书。未在规定时限内完成全部课程，不予结业，不补发证书。</w:t>
      </w:r>
    </w:p>
    <w:p w14:paraId="0353ED2C">
      <w:pPr>
        <w:spacing w:line="400" w:lineRule="exact"/>
        <w:ind w:firstLine="480" w:firstLineChars="200"/>
        <w:rPr>
          <w:rFonts w:hint="eastAsia" w:ascii="仿宋" w:hAnsi="仿宋" w:eastAsia="仿宋"/>
          <w:sz w:val="24"/>
          <w:szCs w:val="24"/>
        </w:rPr>
      </w:pPr>
      <w:r>
        <w:rPr>
          <w:rFonts w:hint="eastAsia" w:ascii="仿宋" w:hAnsi="仿宋" w:eastAsia="仿宋"/>
          <w:sz w:val="24"/>
          <w:szCs w:val="24"/>
        </w:rPr>
        <w:t>4. 质量监控：学院建立微专业教学检查、学生评教、课程复盘机制，持续优化课程内容与实践教学环节。</w:t>
      </w:r>
    </w:p>
    <w:p w14:paraId="709D9AAD">
      <w:pPr>
        <w:spacing w:line="400" w:lineRule="exact"/>
        <w:ind w:firstLine="480" w:firstLineChars="200"/>
        <w:rPr>
          <w:rFonts w:hint="eastAsia" w:ascii="仿宋" w:hAnsi="仿宋" w:eastAsia="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Arial Unicode MS"/>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等线 Light">
    <w:altName w:val="Arial Unicode M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A68"/>
    <w:rsid w:val="000E56EE"/>
    <w:rsid w:val="001D59F6"/>
    <w:rsid w:val="00211EC3"/>
    <w:rsid w:val="00315051"/>
    <w:rsid w:val="00436A68"/>
    <w:rsid w:val="004B3140"/>
    <w:rsid w:val="00546ADF"/>
    <w:rsid w:val="005A061B"/>
    <w:rsid w:val="0063011D"/>
    <w:rsid w:val="007E0B72"/>
    <w:rsid w:val="00BD36DB"/>
    <w:rsid w:val="00C97F0E"/>
    <w:rsid w:val="00D64FA5"/>
    <w:rsid w:val="00D92746"/>
    <w:rsid w:val="00EC4EFD"/>
    <w:rsid w:val="00F80C42"/>
    <w:rsid w:val="00FF1263"/>
    <w:rsid w:val="09806D25"/>
    <w:rsid w:val="4BC62578"/>
    <w:rsid w:val="5E764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6"/>
    <w:semiHidden/>
    <w:unhideWhenUsed/>
    <w:qFormat/>
    <w:uiPriority w:val="99"/>
    <w:pPr>
      <w:jc w:val="left"/>
    </w:pPr>
  </w:style>
  <w:style w:type="paragraph" w:styleId="12">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3">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14">
    <w:name w:val="annotation subject"/>
    <w:basedOn w:val="11"/>
    <w:next w:val="11"/>
    <w:link w:val="37"/>
    <w:semiHidden/>
    <w:unhideWhenUsed/>
    <w:qFormat/>
    <w:uiPriority w:val="99"/>
    <w:rPr>
      <w:b/>
      <w:bCs/>
    </w:rPr>
  </w:style>
  <w:style w:type="character" w:styleId="17">
    <w:name w:val="annotation reference"/>
    <w:basedOn w:val="16"/>
    <w:semiHidden/>
    <w:unhideWhenUsed/>
    <w:qFormat/>
    <w:uiPriority w:val="99"/>
    <w:rPr>
      <w:sz w:val="21"/>
      <w:szCs w:val="21"/>
    </w:rPr>
  </w:style>
  <w:style w:type="character" w:customStyle="1" w:styleId="18">
    <w:name w:val="标题 1 字符"/>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19">
    <w:name w:val="标题 2 字符"/>
    <w:basedOn w:val="16"/>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0">
    <w:name w:val="标题 3 字符"/>
    <w:basedOn w:val="16"/>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1">
    <w:name w:val="标题 4 字符"/>
    <w:basedOn w:val="16"/>
    <w:link w:val="5"/>
    <w:semiHidden/>
    <w:qFormat/>
    <w:uiPriority w:val="9"/>
    <w:rPr>
      <w:rFonts w:cstheme="majorBidi"/>
      <w:color w:val="2F5597" w:themeColor="accent1" w:themeShade="BF"/>
      <w:sz w:val="28"/>
      <w:szCs w:val="28"/>
    </w:rPr>
  </w:style>
  <w:style w:type="character" w:customStyle="1" w:styleId="22">
    <w:name w:val="标题 5 字符"/>
    <w:basedOn w:val="16"/>
    <w:link w:val="6"/>
    <w:semiHidden/>
    <w:qFormat/>
    <w:uiPriority w:val="9"/>
    <w:rPr>
      <w:rFonts w:cstheme="majorBidi"/>
      <w:color w:val="2F5597" w:themeColor="accent1" w:themeShade="BF"/>
      <w:sz w:val="24"/>
      <w:szCs w:val="24"/>
    </w:rPr>
  </w:style>
  <w:style w:type="character" w:customStyle="1" w:styleId="23">
    <w:name w:val="标题 6 字符"/>
    <w:basedOn w:val="16"/>
    <w:link w:val="7"/>
    <w:semiHidden/>
    <w:qFormat/>
    <w:uiPriority w:val="9"/>
    <w:rPr>
      <w:rFonts w:cstheme="majorBidi"/>
      <w:b/>
      <w:bCs/>
      <w:color w:val="2F5597" w:themeColor="accent1" w:themeShade="BF"/>
    </w:rPr>
  </w:style>
  <w:style w:type="character" w:customStyle="1" w:styleId="24">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6"/>
    <w:link w:val="13"/>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6"/>
    <w:link w:val="12"/>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6"/>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6"/>
    <w:qFormat/>
    <w:uiPriority w:val="21"/>
    <w:rPr>
      <w:i/>
      <w:iCs/>
      <w:color w:val="2F5597"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4">
    <w:name w:val="明显引用 字符"/>
    <w:basedOn w:val="16"/>
    <w:link w:val="33"/>
    <w:qFormat/>
    <w:uiPriority w:val="30"/>
    <w:rPr>
      <w:i/>
      <w:iCs/>
      <w:color w:val="2F5597" w:themeColor="accent1" w:themeShade="BF"/>
    </w:rPr>
  </w:style>
  <w:style w:type="character" w:customStyle="1" w:styleId="35">
    <w:name w:val="Intense Reference"/>
    <w:basedOn w:val="16"/>
    <w:qFormat/>
    <w:uiPriority w:val="32"/>
    <w:rPr>
      <w:b/>
      <w:bCs/>
      <w:smallCaps/>
      <w:color w:val="2F5597" w:themeColor="accent1" w:themeShade="BF"/>
      <w:spacing w:val="5"/>
    </w:rPr>
  </w:style>
  <w:style w:type="character" w:customStyle="1" w:styleId="36">
    <w:name w:val="批注文字 字符"/>
    <w:basedOn w:val="16"/>
    <w:link w:val="11"/>
    <w:semiHidden/>
    <w:qFormat/>
    <w:uiPriority w:val="99"/>
  </w:style>
  <w:style w:type="character" w:customStyle="1" w:styleId="37">
    <w:name w:val="批注主题 字符"/>
    <w:basedOn w:val="36"/>
    <w:link w:val="14"/>
    <w:semiHidden/>
    <w:qFormat/>
    <w:uiPriority w:val="99"/>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4cbd6c1c-f44d-4526-b707-1685ee3b10d2</errorID>
      <errorWord>国家家</errorWord>
      <group>L1_Word</group>
      <groupName>字词问题</groupName>
      <ability>L2_Typo</ability>
      <abilityName>字词错误</abilityName>
      <candidateList>
        <item>国家</item>
      </candidateList>
      <explain/>
      <paraID>6C980BC9</paraID>
      <start>24</start>
      <end>27</end>
      <status>ignored</status>
      <modifiedWord/>
      <trackRevisions>false</trackRevisions>
    </reviewItem>
    <reviewItem>
      <errorID>44e073c4-8475-43b4-9b07-132d35354658</errorID>
      <errorWord>，</errorWord>
      <group>L1_Word</group>
      <groupName>字词问题</groupName>
      <ability>L2_Typo</ability>
      <abilityName>字词错误</abilityName>
      <candidateList>
        <item>，具</item>
      </candidateList>
      <explain/>
      <paraID> 2BD54EF</paraID>
      <start>44</start>
      <end>45</end>
      <status>unmodified</status>
      <modifiedWord/>
      <trackRevisions>false</trackRevisions>
    </reviewItem>
  </reviewItems>
  <config/>
</contractReview>
</file>

<file path=customXml/itemProps1.xml><?xml version="1.0" encoding="utf-8"?>
<ds:datastoreItem xmlns:ds="http://schemas.openxmlformats.org/officeDocument/2006/customXml" ds:itemID="{abb5af60-17d1-4efb-bf3c-a7129f261af1}">
  <ds:schemaRefs/>
</ds:datastoreItem>
</file>

<file path=docProps/app.xml><?xml version="1.0" encoding="utf-8"?>
<Properties xmlns="http://schemas.openxmlformats.org/officeDocument/2006/extended-properties" xmlns:vt="http://schemas.openxmlformats.org/officeDocument/2006/docPropsVTypes">
  <Template>Normal</Template>
  <Pages>3</Pages>
  <Words>1785</Words>
  <Characters>1833</Characters>
  <Lines>14</Lines>
  <Paragraphs>4</Paragraphs>
  <TotalTime>4</TotalTime>
  <ScaleCrop>false</ScaleCrop>
  <LinksUpToDate>false</LinksUpToDate>
  <CharactersWithSpaces>1864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2026-08-29T14:43:00Z</dcterms:created>
  <dc:creator>Licheng SHI</dc:creator>
  <cp:lastModifiedBy>Administrator</cp:lastModifiedBy>
  <dcterms:modified xsi:type="dcterms:W3CDTF">2026-09-01T03:27:22Z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eyJoZGlkIjoiNjhkYzkxMzFiZjY1YjYwMGQ4ZGM5ZmQ0NTUyM2RjMmMiLCJ1c2VySWQiOiIzMDQ1Njg5MDMifQ==</vt:lpwstr>
  </property>
  <property fmtid="{D5CDD505-2E9C-101B-9397-08002B2CF9AE}" pid="3" name="KSOProductBuildVer">
    <vt:lpwstr>2052-12.1.0.28043</vt:lpwstr>
  </property>
  <property fmtid="{D5CDD505-2E9C-101B-9397-08002B2CF9AE}" pid="4" name="ICV">
    <vt:lpwstr>273B5E711051465FA92475A1CDA695FB_13</vt:lpwstr>
  </property>
</Properties>
</file>